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B83844">
        <w:rPr>
          <w:b/>
        </w:rPr>
        <w:t>ПРИМОРСКОГО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79678E" w:rsidRPr="0079678E">
        <w:rPr>
          <w:sz w:val="22"/>
          <w:szCs w:val="22"/>
        </w:rPr>
        <w:t>15</w:t>
      </w:r>
      <w:r>
        <w:rPr>
          <w:sz w:val="22"/>
          <w:szCs w:val="22"/>
        </w:rPr>
        <w:t xml:space="preserve"> (</w:t>
      </w:r>
      <w:r w:rsidR="0079678E">
        <w:rPr>
          <w:sz w:val="22"/>
          <w:szCs w:val="22"/>
        </w:rPr>
        <w:t>пятнадцати</w:t>
      </w:r>
      <w:bookmarkStart w:id="0" w:name="_GoBack"/>
      <w:bookmarkEnd w:id="0"/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B83844">
        <w:rPr>
          <w:sz w:val="22"/>
          <w:szCs w:val="22"/>
        </w:rPr>
        <w:t>Приморского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</w:t>
      </w:r>
      <w:r w:rsidR="00AC291C">
        <w:rPr>
          <w:sz w:val="22"/>
          <w:szCs w:val="22"/>
        </w:rPr>
        <w:t xml:space="preserve">, </w:t>
      </w:r>
      <w:r w:rsidR="00605F8C">
        <w:rPr>
          <w:sz w:val="22"/>
          <w:szCs w:val="22"/>
        </w:rPr>
        <w:t>Лот №__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79678E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78E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79678E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5</cp:revision>
  <dcterms:created xsi:type="dcterms:W3CDTF">2020-11-06T11:51:00Z</dcterms:created>
  <dcterms:modified xsi:type="dcterms:W3CDTF">2020-11-20T05:07:00Z</dcterms:modified>
</cp:coreProperties>
</file>