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19126C">
        <w:trPr>
          <w:trHeight w:hRule="exact" w:val="341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92B24" w:rsidRDefault="00410AAF" w:rsidP="00992B24">
      <w:pPr>
        <w:pStyle w:val="a3"/>
        <w:ind w:left="0" w:right="-1" w:firstLine="607"/>
        <w:rPr>
          <w:rFonts w:eastAsia="Arial"/>
          <w:lang w:val="ru-RU"/>
        </w:rPr>
      </w:pPr>
      <w:bookmarkStart w:id="0" w:name="_GoBack"/>
      <w:bookmarkEnd w:id="0"/>
      <w:r w:rsidRPr="00995789"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 w:rsidRPr="00CF0949">
        <w:rPr>
          <w:b/>
          <w:lang w:val="ru-RU"/>
        </w:rPr>
        <w:t xml:space="preserve">Санкт-Петербург, </w:t>
      </w:r>
      <w:r w:rsidRPr="00417842">
        <w:rPr>
          <w:b/>
          <w:lang w:val="ru-RU"/>
        </w:rPr>
        <w:t xml:space="preserve">Лиговский </w:t>
      </w:r>
      <w:r>
        <w:rPr>
          <w:b/>
          <w:lang w:val="ru-RU"/>
        </w:rPr>
        <w:t xml:space="preserve">пр., д. 56, литера Г, пом. 19-Н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«18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мая 2022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Pr="00C63536">
        <w:rPr>
          <w:b/>
          <w:lang w:val="ru-RU"/>
        </w:rPr>
        <w:t>1 563 598</w:t>
      </w:r>
      <w:r>
        <w:rPr>
          <w:b/>
          <w:lang w:val="ru-RU"/>
        </w:rPr>
        <w:t xml:space="preserve"> (один миллион пятьсот шестьдесят три тысячи пятьсот девяносто восемь) рублей 72 копейки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(далее – Задаток) путем перечисления на расчетный счет Фонда:</w:t>
      </w:r>
      <w:r w:rsidR="00992B24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9126C"/>
    <w:rsid w:val="002F343D"/>
    <w:rsid w:val="00301936"/>
    <w:rsid w:val="00397435"/>
    <w:rsid w:val="003B25CE"/>
    <w:rsid w:val="00410AAF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18</cp:revision>
  <cp:lastPrinted>2022-03-15T14:19:00Z</cp:lastPrinted>
  <dcterms:created xsi:type="dcterms:W3CDTF">2022-02-11T18:30:00Z</dcterms:created>
  <dcterms:modified xsi:type="dcterms:W3CDTF">2022-03-22T09:17:00Z</dcterms:modified>
</cp:coreProperties>
</file>