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761969" w:rsidRDefault="00761969" w:rsidP="00761969">
      <w:pPr>
        <w:pStyle w:val="a3"/>
        <w:ind w:left="0" w:right="-1" w:firstLine="720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803720">
        <w:rPr>
          <w:b/>
          <w:lang w:val="ru-RU"/>
        </w:rPr>
        <w:t xml:space="preserve">Санкт-Петербург, </w:t>
      </w:r>
      <w:r w:rsidR="00803720" w:rsidRPr="00CF0B2C">
        <w:rPr>
          <w:b/>
          <w:lang w:val="ru-RU"/>
        </w:rPr>
        <w:t>Гороховая ул., д. 17/56, лит. А, пом. 7-Н</w:t>
      </w:r>
      <w:r w:rsidR="00803720">
        <w:rPr>
          <w:b/>
          <w:lang w:val="ru-RU"/>
        </w:rPr>
        <w:t xml:space="preserve"> </w:t>
      </w:r>
      <w:r w:rsidR="00803720" w:rsidRPr="00DE06A6">
        <w:rPr>
          <w:rFonts w:eastAsia="Arial"/>
          <w:lang w:val="ru-RU"/>
        </w:rPr>
        <w:t>(далее - Объект),</w:t>
      </w:r>
      <w:r w:rsidR="00803720">
        <w:rPr>
          <w:rFonts w:eastAsia="Arial"/>
          <w:lang w:val="ru-RU"/>
        </w:rPr>
        <w:t xml:space="preserve"> проводимого «</w:t>
      </w:r>
      <w:r w:rsidR="00337E01">
        <w:rPr>
          <w:rFonts w:eastAsia="Arial"/>
          <w:lang w:val="ru-RU"/>
        </w:rPr>
        <w:t>24</w:t>
      </w:r>
      <w:r w:rsidR="00803720" w:rsidRPr="00DE06A6">
        <w:rPr>
          <w:rFonts w:eastAsia="Arial"/>
          <w:lang w:val="ru-RU"/>
        </w:rPr>
        <w:t>»</w:t>
      </w:r>
      <w:r w:rsidR="00803720">
        <w:rPr>
          <w:rFonts w:eastAsia="Arial"/>
          <w:lang w:val="ru-RU"/>
        </w:rPr>
        <w:t xml:space="preserve"> августа 2022 </w:t>
      </w:r>
      <w:r w:rsidR="00803720" w:rsidRPr="00DE06A6">
        <w:rPr>
          <w:rFonts w:eastAsia="Arial"/>
          <w:lang w:val="ru-RU"/>
        </w:rPr>
        <w:t>г., перечисл</w:t>
      </w:r>
      <w:r w:rsidR="00803720">
        <w:rPr>
          <w:rFonts w:eastAsia="Arial"/>
          <w:lang w:val="ru-RU"/>
        </w:rPr>
        <w:t xml:space="preserve">яет денежные средства в размере </w:t>
      </w:r>
      <w:r w:rsidR="00803720">
        <w:rPr>
          <w:b/>
          <w:lang w:val="ru-RU"/>
        </w:rPr>
        <w:t>1 957 083 (один миллион девятьсот пятьдесят семь тысяч восемьдесят три) рубля 34 копейки</w:t>
      </w:r>
      <w:r>
        <w:rPr>
          <w:rFonts w:eastAsia="Arial"/>
          <w:lang w:val="ru-RU"/>
        </w:rPr>
        <w:t xml:space="preserve"> 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  <w:bookmarkStart w:id="0" w:name="_GoBack"/>
      <w:bookmarkEnd w:id="0"/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37E01"/>
    <w:rsid w:val="003B25CE"/>
    <w:rsid w:val="00494D0E"/>
    <w:rsid w:val="004F1F32"/>
    <w:rsid w:val="004F7580"/>
    <w:rsid w:val="005000C8"/>
    <w:rsid w:val="00574A69"/>
    <w:rsid w:val="006B5140"/>
    <w:rsid w:val="00715E4B"/>
    <w:rsid w:val="00761969"/>
    <w:rsid w:val="00803720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21</cp:revision>
  <cp:lastPrinted>2022-03-15T14:19:00Z</cp:lastPrinted>
  <dcterms:created xsi:type="dcterms:W3CDTF">2022-02-11T18:30:00Z</dcterms:created>
  <dcterms:modified xsi:type="dcterms:W3CDTF">2022-07-13T10:22:00Z</dcterms:modified>
</cp:coreProperties>
</file>