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F8404A"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383C4903" w:rsidR="001147DC" w:rsidRPr="00F5277A" w:rsidRDefault="001147DC" w:rsidP="001147DC">
      <w:pPr>
        <w:tabs>
          <w:tab w:val="left" w:pos="7729"/>
        </w:tabs>
        <w:ind w:left="57"/>
        <w:rPr>
          <w:sz w:val="23"/>
          <w:szCs w:val="23"/>
          <w:lang w:val="ru-RU"/>
        </w:rPr>
      </w:pPr>
      <w:r w:rsidRPr="00F5277A">
        <w:rPr>
          <w:b/>
          <w:sz w:val="23"/>
          <w:szCs w:val="23"/>
          <w:lang w:val="ru-RU"/>
        </w:rPr>
        <w:t xml:space="preserve">                          код лота на электронной площадке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F8404A"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F8404A"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8404A"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8404A"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8404A"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8404A"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8404A"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8404A"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F8404A"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8404A"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F8404A"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F8404A"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bookmarkStart w:id="0" w:name="_GoBack"/>
      <w:bookmarkEnd w:id="0"/>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lastRenderedPageBreak/>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F5277A" w:rsidRDefault="001147DC" w:rsidP="001147DC">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F5277A" w:rsidRDefault="001147DC" w:rsidP="001147DC">
      <w:pPr>
        <w:pStyle w:val="a3"/>
        <w:spacing w:before="2"/>
        <w:ind w:left="0"/>
        <w:jc w:val="left"/>
        <w:rPr>
          <w:sz w:val="16"/>
          <w:szCs w:val="16"/>
          <w:lang w:val="ru-RU"/>
        </w:rPr>
      </w:pPr>
    </w:p>
    <w:p w14:paraId="27BDA82A" w14:textId="77777777" w:rsidR="001147DC" w:rsidRPr="00F5277A" w:rsidRDefault="001147DC" w:rsidP="001147DC">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31E90C94" w14:textId="77777777" w:rsidR="001147DC" w:rsidRPr="00F5277A" w:rsidRDefault="001147DC" w:rsidP="001147DC">
      <w:pPr>
        <w:pStyle w:val="a3"/>
        <w:spacing w:before="4"/>
        <w:ind w:left="0"/>
        <w:rPr>
          <w:b/>
          <w:sz w:val="20"/>
          <w:lang w:val="ru-RU"/>
        </w:rPr>
      </w:pPr>
    </w:p>
    <w:p w14:paraId="549461E1" w14:textId="77777777" w:rsidR="001147DC" w:rsidRPr="00F5277A"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1F5FB75" w14:textId="77777777" w:rsidR="001147DC" w:rsidRPr="00F5277A" w:rsidRDefault="001147DC" w:rsidP="001147DC">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4BC85BA" w14:textId="77777777" w:rsidR="001147DC" w:rsidRPr="00F5277A" w:rsidRDefault="001147DC" w:rsidP="001147DC">
      <w:pPr>
        <w:ind w:left="113" w:right="106"/>
        <w:jc w:val="both"/>
        <w:rPr>
          <w:sz w:val="23"/>
          <w:szCs w:val="23"/>
          <w:lang w:val="ru-RU"/>
        </w:rPr>
      </w:pP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77777777" w:rsidR="00745B64" w:rsidRPr="00B415D0" w:rsidRDefault="00745B64" w:rsidP="0023435E">
      <w:pPr>
        <w:pStyle w:val="a3"/>
        <w:ind w:left="0"/>
        <w:jc w:val="left"/>
        <w:rPr>
          <w:lang w:val="ru-RU"/>
        </w:rPr>
      </w:pP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94663"/>
      <w:docPartObj>
        <w:docPartGallery w:val="Page Numbers (Top of Page)"/>
        <w:docPartUnique/>
      </w:docPartObj>
    </w:sdtPr>
    <w:sdtEndPr/>
    <w:sdtContent>
      <w:p w14:paraId="02EEBE73" w14:textId="211687C0" w:rsidR="00EE376D" w:rsidRPr="009574DE" w:rsidRDefault="00EE376D" w:rsidP="009574DE">
        <w:pPr>
          <w:pStyle w:val="af2"/>
          <w:jc w:val="center"/>
        </w:pPr>
        <w:r>
          <w:fldChar w:fldCharType="begin"/>
        </w:r>
        <w:r>
          <w:instrText>PAGE   \* MERGEFORMAT</w:instrText>
        </w:r>
        <w:r>
          <w:fldChar w:fldCharType="separate"/>
        </w:r>
        <w:r w:rsidR="00F8404A" w:rsidRPr="00F8404A">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11959-A163-4073-9D5C-A4D248C5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899</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Терентьева Ольга Григорьевна</cp:lastModifiedBy>
  <cp:revision>4</cp:revision>
  <cp:lastPrinted>2022-03-21T15:22:00Z</cp:lastPrinted>
  <dcterms:created xsi:type="dcterms:W3CDTF">2023-10-29T16:45:00Z</dcterms:created>
  <dcterms:modified xsi:type="dcterms:W3CDTF">2023-11-07T09:21:00Z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